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441E5B" w:rsidP="000D040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4A18EA" w:rsidRPr="00810B84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>marzo</w:t>
            </w:r>
            <w:r w:rsidR="004A18EA" w:rsidRPr="00810B84">
              <w:rPr>
                <w:rFonts w:ascii="Arial" w:hAnsi="Arial" w:cs="Arial"/>
                <w:color w:val="000000" w:themeColor="text1"/>
              </w:rPr>
              <w:t>/201</w:t>
            </w:r>
            <w:r w:rsidR="004A18E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441E5B" w:rsidP="00441E5B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11</w:t>
            </w:r>
            <w:r w:rsidR="000D0408">
              <w:rPr>
                <w:rFonts w:ascii="Arial" w:hAnsi="Arial" w:cs="Arial"/>
                <w:color w:val="000000" w:themeColor="text1"/>
                <w:lang w:val="es-MX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25</w:t>
            </w:r>
            <w:r w:rsidR="004A18EA" w:rsidRPr="00810B84">
              <w:rPr>
                <w:rFonts w:ascii="Arial" w:hAnsi="Arial" w:cs="Arial"/>
                <w:color w:val="000000" w:themeColor="text1"/>
                <w:lang w:val="es-MX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441E5B" w:rsidP="000D040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11:5</w:t>
            </w:r>
            <w:r w:rsidR="000D0408">
              <w:rPr>
                <w:rFonts w:ascii="Arial" w:hAnsi="Arial" w:cs="Arial"/>
                <w:color w:val="000000" w:themeColor="text1"/>
                <w:lang w:val="es-MX"/>
              </w:rPr>
              <w:t>0</w:t>
            </w:r>
            <w:r w:rsidR="004A18EA" w:rsidRPr="003C7B7B">
              <w:rPr>
                <w:rFonts w:ascii="Arial" w:hAnsi="Arial" w:cs="Arial"/>
                <w:color w:val="000000" w:themeColor="text1"/>
                <w:lang w:val="es-MX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441E5B" w:rsidP="000D040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3</w:t>
            </w:r>
          </w:p>
        </w:tc>
      </w:tr>
      <w:tr w:rsidR="004A18EA" w:rsidRPr="00810B84" w:rsidTr="00B1600B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4A18EA" w:rsidRPr="00810B84" w:rsidTr="000D0408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441E5B" w:rsidRPr="006F60CC" w:rsidRDefault="00441E5B" w:rsidP="00441E5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441E5B" w:rsidRPr="00B034E0" w:rsidRDefault="00441E5B" w:rsidP="00441E5B">
            <w:pPr>
              <w:numPr>
                <w:ilvl w:val="0"/>
                <w:numId w:val="11"/>
              </w:numPr>
              <w:tabs>
                <w:tab w:val="left" w:pos="317"/>
                <w:tab w:val="left" w:pos="743"/>
              </w:tabs>
              <w:ind w:left="743" w:hanging="426"/>
              <w:jc w:val="both"/>
              <w:rPr>
                <w:rFonts w:ascii="Arial" w:hAnsi="Arial" w:cs="Arial"/>
                <w:color w:val="000000"/>
              </w:rPr>
            </w:pPr>
            <w:r w:rsidRPr="00B034E0">
              <w:rPr>
                <w:rFonts w:ascii="Arial" w:hAnsi="Arial" w:cs="Arial"/>
                <w:color w:val="000000"/>
              </w:rPr>
              <w:t>Lista de asistencia y declaración de quórum legal;</w:t>
            </w:r>
          </w:p>
          <w:p w:rsidR="00441E5B" w:rsidRPr="00B034E0" w:rsidRDefault="00441E5B" w:rsidP="00441E5B">
            <w:pPr>
              <w:numPr>
                <w:ilvl w:val="0"/>
                <w:numId w:val="11"/>
              </w:numPr>
              <w:tabs>
                <w:tab w:val="left" w:pos="317"/>
                <w:tab w:val="left" w:pos="743"/>
              </w:tabs>
              <w:ind w:left="743" w:hanging="426"/>
              <w:jc w:val="both"/>
              <w:rPr>
                <w:rFonts w:ascii="Arial" w:hAnsi="Arial" w:cs="Arial"/>
                <w:color w:val="000000"/>
              </w:rPr>
            </w:pPr>
            <w:r w:rsidRPr="00B034E0">
              <w:rPr>
                <w:rFonts w:ascii="Arial" w:hAnsi="Arial" w:cs="Arial"/>
                <w:color w:val="000000"/>
              </w:rPr>
              <w:t>Lectura y aprobac</w:t>
            </w:r>
            <w:r>
              <w:rPr>
                <w:rFonts w:ascii="Arial" w:hAnsi="Arial" w:cs="Arial"/>
                <w:color w:val="000000"/>
              </w:rPr>
              <w:t>ión en su caso, del proyecto de</w:t>
            </w:r>
            <w:r w:rsidRPr="00B034E0">
              <w:rPr>
                <w:rFonts w:ascii="Arial" w:hAnsi="Arial" w:cs="Arial"/>
                <w:color w:val="000000"/>
              </w:rPr>
              <w:t xml:space="preserve"> orden del día;</w:t>
            </w:r>
          </w:p>
          <w:p w:rsidR="00441E5B" w:rsidRDefault="00441E5B" w:rsidP="00441E5B">
            <w:pPr>
              <w:numPr>
                <w:ilvl w:val="0"/>
                <w:numId w:val="11"/>
              </w:numPr>
              <w:tabs>
                <w:tab w:val="left" w:pos="317"/>
                <w:tab w:val="left" w:pos="743"/>
              </w:tabs>
              <w:ind w:left="743" w:hanging="426"/>
              <w:jc w:val="both"/>
              <w:rPr>
                <w:rFonts w:ascii="Arial" w:hAnsi="Arial" w:cs="Arial"/>
                <w:color w:val="000000"/>
              </w:rPr>
            </w:pPr>
            <w:r w:rsidRPr="00B034E0">
              <w:rPr>
                <w:rFonts w:ascii="Arial" w:hAnsi="Arial" w:cs="Arial"/>
                <w:color w:val="000000"/>
              </w:rPr>
              <w:t>Lectura y aprobación en su caso, de la minuta de la</w:t>
            </w:r>
            <w:r>
              <w:rPr>
                <w:rFonts w:ascii="Arial" w:hAnsi="Arial" w:cs="Arial"/>
                <w:color w:val="000000"/>
              </w:rPr>
              <w:t xml:space="preserve"> sesión ordinaria de</w:t>
            </w:r>
            <w:r w:rsidRPr="00B034E0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 xml:space="preserve"> Comité de Transparencia</w:t>
            </w:r>
            <w:r w:rsidRPr="00B034E0">
              <w:rPr>
                <w:rFonts w:ascii="Arial" w:hAnsi="Arial" w:cs="Arial"/>
                <w:color w:val="000000"/>
              </w:rPr>
              <w:t xml:space="preserve"> del </w:t>
            </w:r>
            <w:r>
              <w:rPr>
                <w:rFonts w:ascii="Arial" w:hAnsi="Arial" w:cs="Arial"/>
                <w:color w:val="000000"/>
              </w:rPr>
              <w:t>Instituto Electoral del Estado de Zacatecas</w:t>
            </w:r>
            <w:r w:rsidRPr="00B034E0">
              <w:rPr>
                <w:rFonts w:ascii="Arial" w:hAnsi="Arial" w:cs="Arial"/>
                <w:color w:val="000000"/>
              </w:rPr>
              <w:t>, celebrada</w:t>
            </w:r>
            <w:r>
              <w:rPr>
                <w:rFonts w:ascii="Arial" w:hAnsi="Arial" w:cs="Arial"/>
                <w:color w:val="000000"/>
              </w:rPr>
              <w:t xml:space="preserve"> el 14 de febrero </w:t>
            </w:r>
            <w:r w:rsidRPr="00B034E0">
              <w:rPr>
                <w:rFonts w:ascii="Arial" w:hAnsi="Arial" w:cs="Arial"/>
                <w:color w:val="000000"/>
              </w:rPr>
              <w:t>del año en curso;</w:t>
            </w:r>
          </w:p>
          <w:p w:rsidR="00441E5B" w:rsidRPr="009522B1" w:rsidRDefault="00441E5B" w:rsidP="00441E5B">
            <w:pPr>
              <w:numPr>
                <w:ilvl w:val="0"/>
                <w:numId w:val="11"/>
              </w:numPr>
              <w:tabs>
                <w:tab w:val="left" w:pos="317"/>
                <w:tab w:val="left" w:pos="743"/>
              </w:tabs>
              <w:ind w:left="743" w:hanging="42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Informe estadístico de las solicitudes de información presentadas en la Unidad de Transparencia en el 4to trimestre de 2016;</w:t>
            </w:r>
          </w:p>
          <w:p w:rsidR="00441E5B" w:rsidRDefault="00441E5B" w:rsidP="00441E5B">
            <w:pPr>
              <w:numPr>
                <w:ilvl w:val="0"/>
                <w:numId w:val="11"/>
              </w:numPr>
              <w:tabs>
                <w:tab w:val="left" w:pos="317"/>
                <w:tab w:val="left" w:pos="743"/>
              </w:tabs>
              <w:ind w:left="743" w:hanging="426"/>
              <w:jc w:val="both"/>
              <w:rPr>
                <w:rFonts w:ascii="Arial" w:hAnsi="Arial" w:cs="Arial"/>
                <w:color w:val="000000"/>
              </w:rPr>
            </w:pPr>
            <w:r w:rsidRPr="00B034E0">
              <w:rPr>
                <w:rFonts w:ascii="Arial" w:hAnsi="Arial" w:cs="Arial"/>
                <w:color w:val="000000"/>
              </w:rPr>
              <w:t xml:space="preserve">Informe del trámite de solicitudes de acceso a la información pública, presentadas en la Unidad de </w:t>
            </w:r>
            <w:r>
              <w:rPr>
                <w:rFonts w:ascii="Arial" w:hAnsi="Arial" w:cs="Arial"/>
                <w:color w:val="000000"/>
              </w:rPr>
              <w:t xml:space="preserve">Transparencia </w:t>
            </w:r>
            <w:r w:rsidRPr="00B034E0">
              <w:rPr>
                <w:rFonts w:ascii="Arial" w:hAnsi="Arial" w:cs="Arial"/>
                <w:color w:val="000000"/>
              </w:rPr>
              <w:t xml:space="preserve">del 1° al 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B034E0">
              <w:rPr>
                <w:rFonts w:ascii="Arial" w:hAnsi="Arial" w:cs="Arial"/>
                <w:color w:val="000000"/>
              </w:rPr>
              <w:t xml:space="preserve"> de </w:t>
            </w:r>
            <w:r>
              <w:rPr>
                <w:rFonts w:ascii="Arial" w:hAnsi="Arial" w:cs="Arial"/>
                <w:color w:val="000000"/>
              </w:rPr>
              <w:t>febrero de 2017; y</w:t>
            </w:r>
          </w:p>
          <w:p w:rsidR="004A18EA" w:rsidRDefault="00441E5B" w:rsidP="00441E5B">
            <w:pPr>
              <w:numPr>
                <w:ilvl w:val="0"/>
                <w:numId w:val="11"/>
              </w:numPr>
              <w:tabs>
                <w:tab w:val="left" w:pos="317"/>
                <w:tab w:val="left" w:pos="743"/>
              </w:tabs>
              <w:ind w:left="743" w:hanging="426"/>
              <w:jc w:val="both"/>
              <w:rPr>
                <w:rFonts w:ascii="Arial" w:hAnsi="Arial" w:cs="Arial"/>
                <w:color w:val="000000"/>
              </w:rPr>
            </w:pPr>
            <w:r w:rsidRPr="00441E5B">
              <w:rPr>
                <w:rFonts w:ascii="Arial" w:hAnsi="Arial" w:cs="Arial"/>
                <w:color w:val="000000"/>
              </w:rPr>
              <w:t>Asuntos Generales</w:t>
            </w:r>
            <w:r>
              <w:rPr>
                <w:rFonts w:ascii="Arial" w:hAnsi="Arial" w:cs="Arial"/>
                <w:color w:val="000000"/>
              </w:rPr>
              <w:t>.</w:t>
            </w:r>
            <w:r w:rsidR="000D0408" w:rsidRPr="00441E5B">
              <w:rPr>
                <w:rFonts w:ascii="Arial" w:hAnsi="Arial" w:cs="Arial"/>
                <w:color w:val="000000"/>
              </w:rPr>
              <w:t xml:space="preserve"> </w:t>
            </w:r>
          </w:p>
          <w:p w:rsidR="00441E5B" w:rsidRPr="00441E5B" w:rsidRDefault="00441E5B" w:rsidP="00441E5B">
            <w:pPr>
              <w:tabs>
                <w:tab w:val="left" w:pos="317"/>
                <w:tab w:val="left" w:pos="743"/>
              </w:tabs>
              <w:ind w:left="743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A18EA" w:rsidRPr="00810B84" w:rsidTr="00B1600B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4A18EA" w:rsidRPr="00810B84" w:rsidTr="000D0408">
        <w:trPr>
          <w:trHeight w:val="230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D0408" w:rsidRDefault="000D0408" w:rsidP="000D0408">
            <w:pPr>
              <w:tabs>
                <w:tab w:val="left" w:pos="720"/>
              </w:tabs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441E5B" w:rsidRDefault="00441E5B" w:rsidP="00441E5B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796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 xml:space="preserve">Mtra. Elisa Flemate Ramírez </w:t>
            </w:r>
            <w:r w:rsidRPr="006F60CC">
              <w:rPr>
                <w:rFonts w:ascii="Arial" w:hAnsi="Arial" w:cs="Arial"/>
                <w:bCs/>
                <w:iCs/>
              </w:rPr>
              <w:t xml:space="preserve">/ </w:t>
            </w:r>
            <w:r>
              <w:rPr>
                <w:rFonts w:ascii="Arial" w:hAnsi="Arial" w:cs="Arial"/>
                <w:bCs/>
                <w:iCs/>
              </w:rPr>
              <w:t>Presidenta</w:t>
            </w:r>
            <w:r w:rsidRPr="006F60CC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del Comité</w:t>
            </w:r>
          </w:p>
          <w:p w:rsidR="00441E5B" w:rsidRPr="00E21DBD" w:rsidRDefault="00441E5B" w:rsidP="00441E5B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796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bCs/>
                <w:iCs/>
              </w:rPr>
              <w:t xml:space="preserve">Lic. Elia Olivia Castro Rosales </w:t>
            </w:r>
            <w:r>
              <w:rPr>
                <w:rFonts w:ascii="Arial" w:hAnsi="Arial" w:cs="Arial"/>
                <w:lang w:val="es-MX"/>
              </w:rPr>
              <w:t xml:space="preserve">/ Vocal del Comité </w:t>
            </w:r>
          </w:p>
          <w:p w:rsidR="00441E5B" w:rsidRPr="00321905" w:rsidRDefault="00441E5B" w:rsidP="00441E5B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796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6F60CC">
              <w:rPr>
                <w:rFonts w:ascii="Arial" w:hAnsi="Arial" w:cs="Arial"/>
                <w:color w:val="000000" w:themeColor="text1"/>
                <w:lang w:val="es-MX"/>
              </w:rPr>
              <w:t xml:space="preserve">Lic. J. Jesús Frausto Sánchez </w:t>
            </w:r>
            <w:r w:rsidRPr="006F60CC">
              <w:rPr>
                <w:rFonts w:ascii="Arial" w:hAnsi="Arial" w:cs="Arial"/>
                <w:bCs/>
                <w:iCs/>
              </w:rPr>
              <w:t xml:space="preserve">/ </w:t>
            </w:r>
            <w:r>
              <w:rPr>
                <w:rFonts w:ascii="Arial" w:hAnsi="Arial" w:cs="Arial"/>
                <w:lang w:val="es-MX"/>
              </w:rPr>
              <w:t>Vocal del Comité</w:t>
            </w:r>
          </w:p>
          <w:p w:rsidR="00441E5B" w:rsidRPr="00441A06" w:rsidRDefault="00441E5B" w:rsidP="00441E5B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796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Mtro. Virgilio Rivera Delgadillo / Consejero Presidente del Instituto</w:t>
            </w:r>
          </w:p>
          <w:p w:rsidR="00441E5B" w:rsidRPr="00930262" w:rsidRDefault="00441E5B" w:rsidP="00441E5B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796"/>
              <w:jc w:val="both"/>
              <w:rPr>
                <w:rFonts w:ascii="Arial" w:hAnsi="Arial" w:cs="Arial"/>
                <w:lang w:val="es-MX"/>
              </w:rPr>
            </w:pPr>
            <w:r w:rsidRPr="00930262">
              <w:rPr>
                <w:rFonts w:ascii="Arial" w:hAnsi="Arial" w:cs="Arial"/>
                <w:lang w:val="es-MX"/>
              </w:rPr>
              <w:t xml:space="preserve">Lic. Juan Osiris Santoyo de la Rosa / Secretario Ejecutivo del IEEZ </w:t>
            </w:r>
          </w:p>
          <w:p w:rsidR="00441E5B" w:rsidRPr="006F60CC" w:rsidRDefault="00441E5B" w:rsidP="00441E5B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796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E21DBD">
              <w:rPr>
                <w:rFonts w:ascii="Arial" w:hAnsi="Arial" w:cs="Arial"/>
                <w:color w:val="000000" w:themeColor="text1"/>
                <w:lang w:val="es-MX"/>
              </w:rPr>
              <w:t xml:space="preserve">Lic. Martha Valdéz López / Secretaria Técnica </w:t>
            </w:r>
            <w:r>
              <w:rPr>
                <w:rFonts w:ascii="Arial" w:hAnsi="Arial" w:cs="Arial"/>
                <w:lang w:val="es-MX"/>
              </w:rPr>
              <w:t>del Comité</w:t>
            </w:r>
          </w:p>
          <w:p w:rsidR="004A18EA" w:rsidRPr="004727A8" w:rsidRDefault="004A18EA" w:rsidP="000D0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4A18EA" w:rsidRPr="00810B84" w:rsidTr="00B1600B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4A18EA" w:rsidRPr="004727A8" w:rsidRDefault="004A18EA" w:rsidP="000D040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A18EA" w:rsidRPr="004727A8" w:rsidRDefault="004A18EA" w:rsidP="000D0408">
            <w:pPr>
              <w:jc w:val="both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Primero.</w:t>
            </w:r>
            <w:r w:rsidRPr="004727A8">
              <w:rPr>
                <w:rFonts w:ascii="Arial" w:hAnsi="Arial" w:cs="Arial"/>
                <w:color w:val="000000"/>
              </w:rPr>
              <w:t xml:space="preserve"> </w:t>
            </w:r>
            <w:r w:rsidRPr="004727A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4A18EA" w:rsidRPr="002334D8" w:rsidRDefault="004A18EA" w:rsidP="000D04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18EA" w:rsidRPr="004727A8" w:rsidRDefault="004A18EA" w:rsidP="000D0408">
            <w:pPr>
              <w:jc w:val="both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Segundo.</w:t>
            </w:r>
            <w:r w:rsidRPr="004727A8">
              <w:rPr>
                <w:rFonts w:ascii="Arial" w:hAnsi="Arial" w:cs="Arial"/>
                <w:color w:val="000000"/>
              </w:rPr>
              <w:t xml:space="preserve"> </w:t>
            </w:r>
            <w:r w:rsidRPr="004727A8">
              <w:rPr>
                <w:rFonts w:ascii="Arial" w:hAnsi="Arial" w:cs="Arial"/>
              </w:rPr>
              <w:t>Se aprobó por unanimidad el proyecto del orden del día.</w:t>
            </w:r>
          </w:p>
          <w:p w:rsidR="004A18EA" w:rsidRPr="002334D8" w:rsidRDefault="004A18EA" w:rsidP="000D04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17CC" w:rsidRDefault="004A18EA" w:rsidP="00441E5B">
            <w:pPr>
              <w:jc w:val="both"/>
              <w:rPr>
                <w:rFonts w:ascii="Arial" w:hAnsi="Arial" w:cs="Arial"/>
                <w:color w:val="000000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Tercero.</w:t>
            </w:r>
            <w:r w:rsidRPr="004727A8">
              <w:rPr>
                <w:rFonts w:ascii="Arial" w:hAnsi="Arial" w:cs="Arial"/>
                <w:color w:val="000000"/>
              </w:rPr>
              <w:t xml:space="preserve"> </w:t>
            </w:r>
            <w:r w:rsidRPr="004727A8">
              <w:rPr>
                <w:rFonts w:ascii="Arial" w:hAnsi="Arial" w:cs="Arial"/>
                <w:lang w:val="es-ES_tradnl"/>
              </w:rPr>
              <w:t xml:space="preserve">Se aprobó por unanimidad la dispensa de la lectura </w:t>
            </w:r>
            <w:r w:rsidRPr="004727A8">
              <w:rPr>
                <w:rFonts w:ascii="Arial" w:hAnsi="Arial" w:cs="Arial"/>
                <w:color w:val="000000"/>
              </w:rPr>
              <w:t xml:space="preserve">de la minuta de la sesión </w:t>
            </w:r>
            <w:r w:rsidR="002274FF">
              <w:rPr>
                <w:rFonts w:ascii="Arial" w:hAnsi="Arial" w:cs="Arial"/>
                <w:color w:val="000000"/>
              </w:rPr>
              <w:t>ordinaria del Comité de Transparencia</w:t>
            </w:r>
            <w:r w:rsidRPr="004727A8">
              <w:rPr>
                <w:rFonts w:ascii="Arial" w:hAnsi="Arial" w:cs="Arial"/>
                <w:color w:val="000000"/>
              </w:rPr>
              <w:t xml:space="preserve">, celebrada el </w:t>
            </w:r>
            <w:r w:rsidR="00441E5B">
              <w:rPr>
                <w:rFonts w:ascii="Arial" w:hAnsi="Arial" w:cs="Arial"/>
                <w:color w:val="000000" w:themeColor="text1"/>
              </w:rPr>
              <w:t>14</w:t>
            </w:r>
            <w:r w:rsidR="00150358">
              <w:rPr>
                <w:rFonts w:ascii="Arial" w:hAnsi="Arial" w:cs="Arial"/>
                <w:color w:val="000000" w:themeColor="text1"/>
              </w:rPr>
              <w:t xml:space="preserve"> de </w:t>
            </w:r>
            <w:r w:rsidR="00441E5B">
              <w:rPr>
                <w:rFonts w:ascii="Arial" w:hAnsi="Arial" w:cs="Arial"/>
                <w:color w:val="000000" w:themeColor="text1"/>
              </w:rPr>
              <w:t>febrero</w:t>
            </w:r>
            <w:r w:rsidR="00150358">
              <w:rPr>
                <w:rFonts w:ascii="Arial" w:hAnsi="Arial" w:cs="Arial"/>
                <w:color w:val="000000"/>
              </w:rPr>
              <w:t xml:space="preserve"> del año 2017</w:t>
            </w:r>
            <w:r w:rsidRPr="004727A8">
              <w:rPr>
                <w:rFonts w:ascii="Arial" w:hAnsi="Arial" w:cs="Arial"/>
                <w:color w:val="000000"/>
              </w:rPr>
              <w:t xml:space="preserve">, así como </w:t>
            </w:r>
            <w:r w:rsidRPr="004727A8">
              <w:rPr>
                <w:rFonts w:ascii="Arial" w:hAnsi="Arial" w:cs="Arial"/>
                <w:color w:val="000000"/>
              </w:rPr>
              <w:lastRenderedPageBreak/>
              <w:t>su contenido.</w:t>
            </w:r>
          </w:p>
          <w:p w:rsidR="00441E5B" w:rsidRDefault="00441E5B" w:rsidP="00441E5B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441E5B" w:rsidRDefault="00441E5B" w:rsidP="00441E5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41E5B">
              <w:rPr>
                <w:rFonts w:ascii="Arial" w:hAnsi="Arial" w:cs="Arial"/>
                <w:b/>
                <w:color w:val="000000"/>
              </w:rPr>
              <w:t xml:space="preserve">Cuarto. </w:t>
            </w:r>
            <w:r w:rsidRPr="00441E5B">
              <w:rPr>
                <w:rFonts w:ascii="Arial" w:hAnsi="Arial" w:cs="Arial"/>
                <w:color w:val="000000"/>
              </w:rPr>
              <w:t xml:space="preserve">Se aprobó </w:t>
            </w:r>
            <w:r w:rsidRPr="005337E6">
              <w:rPr>
                <w:rFonts w:ascii="Arial" w:hAnsi="Arial" w:cs="Arial"/>
                <w:color w:val="000000" w:themeColor="text1"/>
                <w:lang w:val="es-ES_tradnl"/>
              </w:rPr>
              <w:t xml:space="preserve">la </w:t>
            </w:r>
            <w:r w:rsidRPr="005337E6">
              <w:rPr>
                <w:rFonts w:ascii="Arial" w:hAnsi="Arial" w:cs="Arial"/>
                <w:color w:val="000000" w:themeColor="text1"/>
              </w:rPr>
              <w:t>destrucción del listado de apoyo ciudadano a las candidaturas independientes en los procesos electorales ordinarios de 2013, 2015-2016,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337E6">
              <w:rPr>
                <w:rFonts w:ascii="Arial" w:hAnsi="Arial" w:cs="Arial"/>
                <w:color w:val="000000" w:themeColor="text1"/>
              </w:rPr>
              <w:t>y extraordinario 2016; así como las cédulas de afiliación que presentó la organización denominada Democracia Alternativa</w:t>
            </w:r>
            <w:r>
              <w:rPr>
                <w:rFonts w:ascii="Arial" w:hAnsi="Arial" w:cs="Arial"/>
                <w:bCs/>
                <w:color w:val="000000" w:themeColor="text1"/>
              </w:rPr>
              <w:t>. P</w:t>
            </w:r>
            <w:r w:rsidRPr="005337E6">
              <w:rPr>
                <w:rFonts w:ascii="Arial" w:hAnsi="Arial" w:cs="Arial"/>
                <w:bCs/>
                <w:color w:val="000000" w:themeColor="text1"/>
              </w:rPr>
              <w:t xml:space="preserve">rocédase a la elaboración de la resolución correspondiente, con base en las </w:t>
            </w:r>
            <w:r w:rsidRPr="005337E6">
              <w:rPr>
                <w:rFonts w:ascii="Arial" w:hAnsi="Arial" w:cs="Arial"/>
                <w:color w:val="000000" w:themeColor="text1"/>
              </w:rPr>
              <w:t>disposiciones constitucionales, legales y reglamentarias aplicables.</w:t>
            </w:r>
          </w:p>
          <w:p w:rsidR="00050D62" w:rsidRPr="00441E5B" w:rsidRDefault="00050D62" w:rsidP="00441E5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A18EA" w:rsidRPr="00810B84" w:rsidTr="00B1600B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4A18EA" w:rsidRPr="00810B84" w:rsidTr="000D0408">
        <w:trPr>
          <w:trHeight w:val="1705"/>
        </w:trPr>
        <w:tc>
          <w:tcPr>
            <w:tcW w:w="9923" w:type="dxa"/>
            <w:gridSpan w:val="4"/>
            <w:vAlign w:val="center"/>
          </w:tcPr>
          <w:p w:rsidR="00150358" w:rsidRPr="002274FF" w:rsidRDefault="00150358" w:rsidP="00150358">
            <w:pPr>
              <w:pStyle w:val="Prrafodelista"/>
              <w:ind w:left="317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441E5B" w:rsidRPr="00441E5B" w:rsidRDefault="00441E5B" w:rsidP="00441E5B">
            <w:pPr>
              <w:tabs>
                <w:tab w:val="left" w:pos="317"/>
                <w:tab w:val="left" w:pos="743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441E5B">
              <w:rPr>
                <w:rFonts w:ascii="Arial" w:hAnsi="Arial" w:cs="Arial"/>
                <w:b/>
                <w:color w:val="000000"/>
              </w:rPr>
              <w:t>Informe estadístico de las solicitudes de información presentadas en la Unidad de Transparencia en el 4to trimestre de 2016.</w:t>
            </w:r>
          </w:p>
          <w:p w:rsidR="00441E5B" w:rsidRDefault="00441E5B" w:rsidP="00441E5B">
            <w:pPr>
              <w:pStyle w:val="Prrafodelista"/>
              <w:tabs>
                <w:tab w:val="left" w:pos="317"/>
                <w:tab w:val="left" w:pos="743"/>
              </w:tabs>
              <w:ind w:left="677"/>
              <w:jc w:val="both"/>
              <w:rPr>
                <w:rFonts w:ascii="Arial" w:hAnsi="Arial" w:cs="Arial"/>
                <w:color w:val="000000"/>
              </w:rPr>
            </w:pPr>
          </w:p>
          <w:p w:rsidR="00441E5B" w:rsidRPr="006A5F00" w:rsidRDefault="00441E5B" w:rsidP="00441E5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Se comunica a este Comité que el informe se está rindiendo en estos momentos en virtud a que no se había podido cerrar el 4</w:t>
            </w:r>
            <w:r>
              <w:rPr>
                <w:rFonts w:ascii="Arial" w:hAnsi="Arial" w:cs="Arial"/>
                <w:color w:val="000000" w:themeColor="text1"/>
              </w:rPr>
              <w:t>to</w:t>
            </w:r>
            <w:r w:rsidRPr="006A5F00">
              <w:rPr>
                <w:rFonts w:ascii="Arial" w:hAnsi="Arial" w:cs="Arial"/>
                <w:color w:val="000000" w:themeColor="text1"/>
              </w:rPr>
              <w:t xml:space="preserve"> trimestr</w:t>
            </w:r>
            <w:r>
              <w:rPr>
                <w:rFonts w:ascii="Arial" w:hAnsi="Arial" w:cs="Arial"/>
                <w:color w:val="000000" w:themeColor="text1"/>
              </w:rPr>
              <w:t>e de 2016, toda vez que había aún solicitudes procesándose</w:t>
            </w:r>
            <w:r w:rsidRPr="006A5F00">
              <w:rPr>
                <w:rFonts w:ascii="Arial" w:hAnsi="Arial" w:cs="Arial"/>
                <w:color w:val="000000" w:themeColor="text1"/>
              </w:rPr>
              <w:t xml:space="preserve">. Con este informe se cumple y concluimos las actividades </w:t>
            </w:r>
            <w:r>
              <w:rPr>
                <w:rFonts w:ascii="Arial" w:hAnsi="Arial" w:cs="Arial"/>
                <w:color w:val="000000" w:themeColor="text1"/>
              </w:rPr>
              <w:t>programadas</w:t>
            </w:r>
            <w:r w:rsidRPr="006A5F00">
              <w:rPr>
                <w:rFonts w:ascii="Arial" w:hAnsi="Arial" w:cs="Arial"/>
                <w:color w:val="000000" w:themeColor="text1"/>
              </w:rPr>
              <w:t xml:space="preserve"> en este rubro </w:t>
            </w:r>
            <w:r>
              <w:rPr>
                <w:rFonts w:ascii="Arial" w:hAnsi="Arial" w:cs="Arial"/>
                <w:color w:val="000000" w:themeColor="text1"/>
              </w:rPr>
              <w:t>en el ejercicio</w:t>
            </w:r>
            <w:r w:rsidRPr="006A5F00">
              <w:rPr>
                <w:rFonts w:ascii="Arial" w:hAnsi="Arial" w:cs="Arial"/>
                <w:color w:val="000000" w:themeColor="text1"/>
              </w:rPr>
              <w:t xml:space="preserve"> 2016.</w:t>
            </w:r>
          </w:p>
          <w:p w:rsidR="00441E5B" w:rsidRPr="006A5F00" w:rsidRDefault="00441E5B" w:rsidP="00441E5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441E5B" w:rsidRPr="006A5F00" w:rsidRDefault="00441E5B" w:rsidP="00441E5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En esos términos se informa lo siguiente:</w:t>
            </w:r>
          </w:p>
          <w:p w:rsidR="00441E5B" w:rsidRPr="006A5F00" w:rsidRDefault="00441E5B" w:rsidP="00441E5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441E5B" w:rsidRPr="006A5F00" w:rsidRDefault="00441E5B" w:rsidP="00441E5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Como se apr</w:t>
            </w:r>
            <w:r>
              <w:rPr>
                <w:rFonts w:ascii="Arial" w:hAnsi="Arial" w:cs="Arial"/>
                <w:color w:val="000000" w:themeColor="text1"/>
              </w:rPr>
              <w:t>ecia en las representaciones grá</w:t>
            </w:r>
            <w:r w:rsidRPr="006A5F00">
              <w:rPr>
                <w:rFonts w:ascii="Arial" w:hAnsi="Arial" w:cs="Arial"/>
                <w:color w:val="000000" w:themeColor="text1"/>
              </w:rPr>
              <w:t xml:space="preserve">ficas en el 4to trimestre se recibieron 42 solicitudes de información. 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 xml:space="preserve">20 en el mes de octubre, 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 xml:space="preserve">15 en el mes de noviembre y 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7 en el mes de diciembre.</w:t>
            </w:r>
          </w:p>
          <w:p w:rsidR="00441E5B" w:rsidRPr="00161A4C" w:rsidRDefault="00441E5B" w:rsidP="00441E5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41E5B" w:rsidRPr="006A5F00" w:rsidRDefault="00441E5B" w:rsidP="00441E5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 xml:space="preserve">La vía de recepción fue a través de la 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Plataforma Nacional de Transparencia,</w:t>
            </w:r>
            <w:r w:rsidRPr="006A5F0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35.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El Portal de Transparencia</w:t>
            </w:r>
            <w:r>
              <w:rPr>
                <w:rFonts w:ascii="Arial" w:hAnsi="Arial" w:cs="Arial"/>
                <w:color w:val="000000" w:themeColor="text1"/>
              </w:rPr>
              <w:t>, 2.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 manera p</w:t>
            </w:r>
            <w:r w:rsidRPr="006A5F00">
              <w:rPr>
                <w:rFonts w:ascii="Arial" w:hAnsi="Arial" w:cs="Arial"/>
                <w:color w:val="000000" w:themeColor="text1"/>
              </w:rPr>
              <w:t>resencial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6A5F00">
              <w:rPr>
                <w:rFonts w:ascii="Arial" w:hAnsi="Arial" w:cs="Arial"/>
                <w:color w:val="000000" w:themeColor="text1"/>
              </w:rPr>
              <w:t xml:space="preserve"> 2 y 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Correo Electrónico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6A5F00">
              <w:rPr>
                <w:rFonts w:ascii="Arial" w:hAnsi="Arial" w:cs="Arial"/>
                <w:color w:val="000000" w:themeColor="text1"/>
              </w:rPr>
              <w:t xml:space="preserve"> 3.</w:t>
            </w:r>
          </w:p>
          <w:p w:rsidR="00441E5B" w:rsidRPr="00161A4C" w:rsidRDefault="00441E5B" w:rsidP="00441E5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41E5B" w:rsidRPr="006A5F00" w:rsidRDefault="00441E5B" w:rsidP="00441E5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La información que solicitaron prevista por el artículo 11 de la LTAIPEZ fue: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De la Fracción I marco jurídico,  5 solicitudes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De la fracción III de estructura orgánica y funciones, 10 solicitudes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De la fracción IV de directorio, 3 solicitudes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De la fracción VIII de acuerdos, 4 solicitudes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De la fracción XII de contratos, 2 solicitudes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De la fracción XV de presupuesto  2 solicitudes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De la fracción XVII de inventarios 1 solicitud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De la fracción XX de Convenios 2 solicitudes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441E5B" w:rsidRPr="00161A4C" w:rsidRDefault="00441E5B" w:rsidP="00441E5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41E5B" w:rsidRPr="006A5F00" w:rsidRDefault="00441E5B" w:rsidP="00441E5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 xml:space="preserve"> De la información contemplada en el artículo 18, se solicitó: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De la fracción I de resoluciones, 1 solicitud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De la fracción V de marco geográfico, 1 solicitud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De la fracción VI de Partidos políticos, 8 solicitudes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De la fracción VII de registro de candidaturas, 6 solicitudes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De la fracción IX de cómputos, 12 solicitudes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De la fracción X de acuerdos, 1 solicitud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De la fracción XIII de Lista nominal y padrón, 2 solicitudes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441E5B" w:rsidRPr="006A5F00" w:rsidRDefault="00441E5B" w:rsidP="00441E5B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De la fracción XV de información de utilidad, 3 solicitudes.</w:t>
            </w:r>
          </w:p>
          <w:p w:rsidR="00441E5B" w:rsidRPr="006A5F00" w:rsidRDefault="00441E5B" w:rsidP="00441E5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441E5B" w:rsidRPr="006A5F00" w:rsidRDefault="00441E5B" w:rsidP="00441E5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Por el tipo de repuesta, es decir, la forma en que se entrega la información es la siguiente</w:t>
            </w:r>
            <w:r w:rsidRPr="006A5F00">
              <w:rPr>
                <w:rFonts w:ascii="Arial" w:hAnsi="Arial" w:cs="Arial"/>
                <w:color w:val="000000" w:themeColor="text1"/>
              </w:rPr>
              <w:t>;</w:t>
            </w:r>
          </w:p>
          <w:p w:rsidR="00441E5B" w:rsidRDefault="00441E5B" w:rsidP="00441E5B">
            <w:pPr>
              <w:numPr>
                <w:ilvl w:val="0"/>
                <w:numId w:val="13"/>
              </w:numPr>
              <w:ind w:left="851" w:hanging="284"/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 xml:space="preserve">En 32 la información </w:t>
            </w:r>
            <w:r>
              <w:rPr>
                <w:rFonts w:ascii="Arial" w:hAnsi="Arial" w:cs="Arial"/>
                <w:color w:val="000000" w:themeColor="text1"/>
              </w:rPr>
              <w:t xml:space="preserve">se proporcionó o </w:t>
            </w:r>
            <w:r w:rsidRPr="006A5F00">
              <w:rPr>
                <w:rFonts w:ascii="Arial" w:hAnsi="Arial" w:cs="Arial"/>
                <w:color w:val="000000" w:themeColor="text1"/>
              </w:rPr>
              <w:t>va implícita en la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6A5F0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respuestas</w:t>
            </w:r>
            <w:r w:rsidRPr="006A5F00">
              <w:rPr>
                <w:rFonts w:ascii="Arial" w:hAnsi="Arial" w:cs="Arial"/>
                <w:color w:val="000000" w:themeColor="text1"/>
              </w:rPr>
              <w:t>.</w:t>
            </w:r>
          </w:p>
          <w:p w:rsidR="00441E5B" w:rsidRDefault="00441E5B" w:rsidP="00441E5B">
            <w:pPr>
              <w:numPr>
                <w:ilvl w:val="0"/>
                <w:numId w:val="13"/>
              </w:numPr>
              <w:ind w:left="851" w:hanging="284"/>
              <w:jc w:val="both"/>
              <w:rPr>
                <w:rFonts w:ascii="Arial" w:hAnsi="Arial" w:cs="Arial"/>
                <w:color w:val="000000" w:themeColor="text1"/>
              </w:rPr>
            </w:pPr>
            <w:r w:rsidRPr="005D7BDD">
              <w:rPr>
                <w:rFonts w:ascii="Arial" w:hAnsi="Arial" w:cs="Arial"/>
                <w:color w:val="000000" w:themeColor="text1"/>
              </w:rPr>
              <w:t xml:space="preserve">En 10 la información </w:t>
            </w:r>
            <w:r>
              <w:rPr>
                <w:rFonts w:ascii="Arial" w:hAnsi="Arial" w:cs="Arial"/>
                <w:color w:val="000000" w:themeColor="text1"/>
              </w:rPr>
              <w:t>fue</w:t>
            </w:r>
            <w:r w:rsidRPr="005D7BDD">
              <w:rPr>
                <w:rFonts w:ascii="Arial" w:hAnsi="Arial" w:cs="Arial"/>
                <w:color w:val="000000" w:themeColor="text1"/>
              </w:rPr>
              <w:t xml:space="preserve"> inexistente (agrupaciones políticas y reglamentación de diversidad sexual).</w:t>
            </w:r>
          </w:p>
          <w:p w:rsidR="00441E5B" w:rsidRDefault="00441E5B" w:rsidP="00441E5B">
            <w:pPr>
              <w:numPr>
                <w:ilvl w:val="0"/>
                <w:numId w:val="13"/>
              </w:numPr>
              <w:ind w:left="851" w:hanging="284"/>
              <w:jc w:val="both"/>
              <w:rPr>
                <w:rFonts w:ascii="Arial" w:hAnsi="Arial" w:cs="Arial"/>
                <w:color w:val="000000" w:themeColor="text1"/>
              </w:rPr>
            </w:pPr>
            <w:r w:rsidRPr="005D7BDD">
              <w:rPr>
                <w:rFonts w:ascii="Arial" w:hAnsi="Arial" w:cs="Arial"/>
                <w:color w:val="000000" w:themeColor="text1"/>
              </w:rPr>
              <w:t xml:space="preserve">En 22 la información </w:t>
            </w:r>
            <w:r>
              <w:rPr>
                <w:rFonts w:ascii="Arial" w:hAnsi="Arial" w:cs="Arial"/>
                <w:color w:val="000000" w:themeColor="text1"/>
              </w:rPr>
              <w:t xml:space="preserve">está </w:t>
            </w:r>
            <w:r w:rsidRPr="005D7BDD">
              <w:rPr>
                <w:rFonts w:ascii="Arial" w:hAnsi="Arial" w:cs="Arial"/>
                <w:color w:val="000000" w:themeColor="text1"/>
              </w:rPr>
              <w:t>disponible a través de la página web en el portal de transparencia.</w:t>
            </w:r>
          </w:p>
          <w:p w:rsidR="00441E5B" w:rsidRDefault="00441E5B" w:rsidP="00441E5B">
            <w:pPr>
              <w:numPr>
                <w:ilvl w:val="0"/>
                <w:numId w:val="13"/>
              </w:numPr>
              <w:ind w:left="851" w:hanging="284"/>
              <w:jc w:val="both"/>
              <w:rPr>
                <w:rFonts w:ascii="Arial" w:hAnsi="Arial" w:cs="Arial"/>
                <w:color w:val="000000" w:themeColor="text1"/>
              </w:rPr>
            </w:pPr>
            <w:r w:rsidRPr="005D7BDD">
              <w:rPr>
                <w:rFonts w:ascii="Arial" w:hAnsi="Arial" w:cs="Arial"/>
                <w:color w:val="000000" w:themeColor="text1"/>
              </w:rPr>
              <w:t>En 2 se solicitó aclaración de solicitud de información,</w:t>
            </w:r>
          </w:p>
          <w:p w:rsidR="00441E5B" w:rsidRPr="005D7BDD" w:rsidRDefault="00441E5B" w:rsidP="00441E5B">
            <w:pPr>
              <w:numPr>
                <w:ilvl w:val="0"/>
                <w:numId w:val="13"/>
              </w:numPr>
              <w:ind w:left="851" w:hanging="284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 10 se orientó</w:t>
            </w:r>
            <w:r w:rsidRPr="005D7BDD">
              <w:rPr>
                <w:rFonts w:ascii="Arial" w:hAnsi="Arial" w:cs="Arial"/>
                <w:color w:val="000000" w:themeColor="text1"/>
              </w:rPr>
              <w:t xml:space="preserve"> a Otro Sujeto Obligado</w:t>
            </w:r>
          </w:p>
          <w:p w:rsidR="00441E5B" w:rsidRPr="00161A4C" w:rsidRDefault="00441E5B" w:rsidP="00441E5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41E5B" w:rsidRPr="006A5F00" w:rsidRDefault="00441E5B" w:rsidP="00441E5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>Consultas de la información en la página Web</w:t>
            </w:r>
          </w:p>
          <w:p w:rsidR="00441E5B" w:rsidRDefault="00441E5B" w:rsidP="00441E5B">
            <w:pPr>
              <w:numPr>
                <w:ilvl w:val="0"/>
                <w:numId w:val="13"/>
              </w:numPr>
              <w:ind w:left="851" w:hanging="284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 octubre se recibieron 14,672</w:t>
            </w:r>
            <w:r w:rsidRPr="006A5F00">
              <w:rPr>
                <w:rFonts w:ascii="Arial" w:hAnsi="Arial" w:cs="Arial"/>
                <w:color w:val="000000" w:themeColor="text1"/>
              </w:rPr>
              <w:t xml:space="preserve"> consultas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441E5B" w:rsidRDefault="00441E5B" w:rsidP="00441E5B">
            <w:pPr>
              <w:numPr>
                <w:ilvl w:val="0"/>
                <w:numId w:val="13"/>
              </w:numPr>
              <w:ind w:left="851" w:hanging="284"/>
              <w:jc w:val="both"/>
              <w:rPr>
                <w:rFonts w:ascii="Arial" w:hAnsi="Arial" w:cs="Arial"/>
                <w:color w:val="000000" w:themeColor="text1"/>
              </w:rPr>
            </w:pPr>
            <w:r w:rsidRPr="005D7BDD">
              <w:rPr>
                <w:rFonts w:ascii="Arial" w:hAnsi="Arial" w:cs="Arial"/>
                <w:color w:val="000000" w:themeColor="text1"/>
              </w:rPr>
              <w:t>En noviembre 857 consultas.</w:t>
            </w:r>
          </w:p>
          <w:p w:rsidR="00441E5B" w:rsidRDefault="00441E5B" w:rsidP="00441E5B">
            <w:pPr>
              <w:numPr>
                <w:ilvl w:val="0"/>
                <w:numId w:val="13"/>
              </w:numPr>
              <w:ind w:left="851" w:hanging="284"/>
              <w:jc w:val="both"/>
              <w:rPr>
                <w:rFonts w:ascii="Arial" w:hAnsi="Arial" w:cs="Arial"/>
                <w:color w:val="000000" w:themeColor="text1"/>
              </w:rPr>
            </w:pPr>
            <w:r w:rsidRPr="005D7BDD">
              <w:rPr>
                <w:rFonts w:ascii="Arial" w:hAnsi="Arial" w:cs="Arial"/>
                <w:color w:val="000000" w:themeColor="text1"/>
              </w:rPr>
              <w:t xml:space="preserve">En diciembre 5, 192 Consultas. </w:t>
            </w:r>
          </w:p>
          <w:p w:rsidR="00441E5B" w:rsidRPr="005D7BDD" w:rsidRDefault="00441E5B" w:rsidP="00441E5B">
            <w:pPr>
              <w:ind w:left="851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441E5B" w:rsidRDefault="00441E5B" w:rsidP="00441E5B">
            <w:pPr>
              <w:tabs>
                <w:tab w:val="left" w:pos="317"/>
                <w:tab w:val="left" w:pos="743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441E5B" w:rsidRDefault="00441E5B" w:rsidP="00441E5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41E5B">
              <w:rPr>
                <w:rFonts w:ascii="Arial" w:hAnsi="Arial" w:cs="Arial"/>
                <w:b/>
                <w:color w:val="000000"/>
              </w:rPr>
              <w:t>Informe del trámite de solicitudes de acceso a la información pública, presentadas en la Unidad de Transparencia del 1° al 28 de febrero de 2017</w:t>
            </w:r>
          </w:p>
          <w:p w:rsidR="00441E5B" w:rsidRPr="00441E5B" w:rsidRDefault="00441E5B" w:rsidP="00441E5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41E5B" w:rsidRPr="00161A4C" w:rsidRDefault="00441E5B" w:rsidP="00441E5B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161A4C">
              <w:rPr>
                <w:rFonts w:ascii="Arial" w:hAnsi="Arial" w:cs="Arial"/>
                <w:color w:val="000000"/>
                <w:lang w:val="es-ES_tradnl"/>
              </w:rPr>
              <w:t xml:space="preserve">Se comunica que de la relación de solicitudes que se presenta en el informe, las señaladas con número de folio  2, 4, 5, 9, 15, 16 y 17, se recibieron en el mes de </w:t>
            </w:r>
            <w:r>
              <w:rPr>
                <w:rFonts w:ascii="Arial" w:hAnsi="Arial" w:cs="Arial"/>
                <w:color w:val="000000"/>
                <w:lang w:val="es-ES_tradnl"/>
              </w:rPr>
              <w:t>enero</w:t>
            </w:r>
            <w:r w:rsidRPr="00161A4C">
              <w:rPr>
                <w:rFonts w:ascii="Arial" w:hAnsi="Arial" w:cs="Arial"/>
                <w:color w:val="000000"/>
                <w:lang w:val="es-ES_tradnl"/>
              </w:rPr>
              <w:t>, y concluyó su trámite en el mes que se informa.</w:t>
            </w:r>
          </w:p>
          <w:p w:rsidR="00441E5B" w:rsidRPr="00161A4C" w:rsidRDefault="00441E5B" w:rsidP="00441E5B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441E5B" w:rsidRPr="00161A4C" w:rsidRDefault="00441E5B" w:rsidP="00441E5B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161A4C">
              <w:rPr>
                <w:rFonts w:ascii="Arial" w:hAnsi="Arial" w:cs="Arial"/>
                <w:color w:val="000000"/>
                <w:lang w:val="es-ES_tradnl"/>
              </w:rPr>
              <w:t xml:space="preserve">En el mes de </w:t>
            </w:r>
            <w:r>
              <w:rPr>
                <w:rFonts w:ascii="Arial" w:hAnsi="Arial" w:cs="Arial"/>
                <w:color w:val="000000"/>
                <w:lang w:val="es-ES_tradnl"/>
              </w:rPr>
              <w:t>febrero</w:t>
            </w:r>
            <w:r w:rsidRPr="00161A4C">
              <w:rPr>
                <w:rFonts w:ascii="Arial" w:hAnsi="Arial" w:cs="Arial"/>
                <w:color w:val="000000"/>
                <w:lang w:val="es-ES_tradnl"/>
              </w:rPr>
              <w:t xml:space="preserve"> se recibieron 10 solicitudes de información, de las cuales 5 se están procesando y 5 ya fueron atendidas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en el mes que se informa</w:t>
            </w:r>
            <w:r w:rsidRPr="00161A4C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:rsidR="00441E5B" w:rsidRPr="00161A4C" w:rsidRDefault="00441E5B" w:rsidP="00441E5B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441E5B" w:rsidRPr="00161A4C" w:rsidRDefault="00441E5B" w:rsidP="00441E5B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161A4C">
              <w:rPr>
                <w:rFonts w:ascii="Arial" w:hAnsi="Arial" w:cs="Arial"/>
                <w:color w:val="000000"/>
                <w:lang w:val="es-ES_tradnl"/>
              </w:rPr>
              <w:t xml:space="preserve">La información que solicitaron refiere a lo siguiente: </w:t>
            </w:r>
          </w:p>
          <w:p w:rsidR="00441E5B" w:rsidRPr="00161A4C" w:rsidRDefault="00441E5B" w:rsidP="00441E5B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:rsidR="00441E5B" w:rsidRPr="00161A4C" w:rsidRDefault="00441E5B" w:rsidP="00441E5B">
            <w:pPr>
              <w:numPr>
                <w:ilvl w:val="0"/>
                <w:numId w:val="5"/>
              </w:num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161A4C">
              <w:rPr>
                <w:rFonts w:ascii="Arial" w:hAnsi="Arial" w:cs="Arial"/>
                <w:color w:val="000000"/>
                <w:lang w:val="es-ES_tradnl"/>
              </w:rPr>
              <w:t>Planillas registradas desde el proceso electoral de 1995 a la fecha.</w:t>
            </w:r>
          </w:p>
          <w:p w:rsidR="00441E5B" w:rsidRPr="00161A4C" w:rsidRDefault="00441E5B" w:rsidP="00441E5B">
            <w:pPr>
              <w:numPr>
                <w:ilvl w:val="0"/>
                <w:numId w:val="5"/>
              </w:num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161A4C">
              <w:rPr>
                <w:rFonts w:ascii="Arial" w:hAnsi="Arial" w:cs="Arial"/>
                <w:color w:val="000000"/>
                <w:lang w:val="es-ES_tradnl"/>
              </w:rPr>
              <w:t>Afiliación partidaria de los candidatos de las coaliciones</w:t>
            </w:r>
          </w:p>
          <w:p w:rsidR="00441E5B" w:rsidRPr="00161A4C" w:rsidRDefault="00441E5B" w:rsidP="00441E5B">
            <w:pPr>
              <w:numPr>
                <w:ilvl w:val="0"/>
                <w:numId w:val="5"/>
              </w:num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161A4C">
              <w:rPr>
                <w:rFonts w:ascii="Arial" w:hAnsi="Arial" w:cs="Arial"/>
                <w:color w:val="000000"/>
                <w:lang w:val="es-ES_tradnl"/>
              </w:rPr>
              <w:t>Sueldo y prestaciones de Consejeros Electorales</w:t>
            </w:r>
          </w:p>
          <w:p w:rsidR="00441E5B" w:rsidRPr="00161A4C" w:rsidRDefault="00441E5B" w:rsidP="00441E5B">
            <w:pPr>
              <w:numPr>
                <w:ilvl w:val="0"/>
                <w:numId w:val="5"/>
              </w:num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161A4C">
              <w:rPr>
                <w:rFonts w:ascii="Arial" w:hAnsi="Arial" w:cs="Arial"/>
                <w:color w:val="000000"/>
                <w:lang w:val="es-ES_tradnl"/>
              </w:rPr>
              <w:t>Gastos de la elección de gobernador</w:t>
            </w:r>
          </w:p>
          <w:p w:rsidR="00441E5B" w:rsidRPr="00161A4C" w:rsidRDefault="00441E5B" w:rsidP="00441E5B">
            <w:pPr>
              <w:numPr>
                <w:ilvl w:val="0"/>
                <w:numId w:val="5"/>
              </w:num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161A4C">
              <w:rPr>
                <w:rFonts w:ascii="Arial" w:hAnsi="Arial" w:cs="Arial"/>
                <w:color w:val="000000"/>
                <w:lang w:val="es-ES_tradnl"/>
              </w:rPr>
              <w:t>Lista nominal y padrón electoral</w:t>
            </w:r>
          </w:p>
          <w:p w:rsidR="00441E5B" w:rsidRPr="00161A4C" w:rsidRDefault="00441E5B" w:rsidP="00441E5B">
            <w:pPr>
              <w:numPr>
                <w:ilvl w:val="0"/>
                <w:numId w:val="5"/>
              </w:num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161A4C">
              <w:rPr>
                <w:rFonts w:ascii="Arial" w:hAnsi="Arial" w:cs="Arial"/>
                <w:color w:val="000000"/>
                <w:lang w:val="es-ES_tradnl"/>
              </w:rPr>
              <w:t>Participación ciudadana y abstencionismo</w:t>
            </w:r>
          </w:p>
          <w:p w:rsidR="00441E5B" w:rsidRPr="00161A4C" w:rsidRDefault="00441E5B" w:rsidP="00441E5B">
            <w:pPr>
              <w:numPr>
                <w:ilvl w:val="0"/>
                <w:numId w:val="5"/>
              </w:num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161A4C">
              <w:rPr>
                <w:rFonts w:ascii="Arial" w:hAnsi="Arial" w:cs="Arial"/>
                <w:color w:val="000000"/>
                <w:lang w:val="es-ES_tradnl"/>
              </w:rPr>
              <w:t>Empresas contratadas para la producción de material y documentación electoral, montos y cantidades</w:t>
            </w:r>
          </w:p>
          <w:p w:rsidR="00441E5B" w:rsidRPr="00161A4C" w:rsidRDefault="00441E5B" w:rsidP="00441E5B">
            <w:pPr>
              <w:numPr>
                <w:ilvl w:val="0"/>
                <w:numId w:val="5"/>
              </w:num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161A4C">
              <w:rPr>
                <w:rFonts w:ascii="Arial" w:hAnsi="Arial" w:cs="Arial"/>
                <w:color w:val="000000"/>
                <w:lang w:val="es-ES_tradnl"/>
              </w:rPr>
              <w:t>Ingresos del IEEZ, origen y aplicación de los recursos.</w:t>
            </w:r>
          </w:p>
          <w:p w:rsidR="004A18EA" w:rsidRPr="000D0408" w:rsidRDefault="004A18EA" w:rsidP="000D0408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4A18EA" w:rsidRPr="00810B84" w:rsidTr="000D0408">
        <w:trPr>
          <w:trHeight w:val="1062"/>
        </w:trPr>
        <w:tc>
          <w:tcPr>
            <w:tcW w:w="9923" w:type="dxa"/>
            <w:gridSpan w:val="4"/>
            <w:vAlign w:val="center"/>
          </w:tcPr>
          <w:p w:rsidR="00301284" w:rsidRDefault="00301284" w:rsidP="000D0408">
            <w:pPr>
              <w:jc w:val="center"/>
              <w:rPr>
                <w:rFonts w:ascii="Arial" w:hAnsi="Arial" w:cs="Arial"/>
              </w:rPr>
            </w:pPr>
          </w:p>
          <w:p w:rsidR="00301284" w:rsidRDefault="00301284" w:rsidP="000D0408">
            <w:pPr>
              <w:jc w:val="center"/>
              <w:rPr>
                <w:rFonts w:ascii="Arial" w:hAnsi="Arial" w:cs="Arial"/>
              </w:rPr>
            </w:pPr>
          </w:p>
          <w:p w:rsidR="004A18EA" w:rsidRPr="004727A8" w:rsidRDefault="004A18EA" w:rsidP="000D0408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Lic. Martha Valdéz López</w:t>
            </w:r>
          </w:p>
          <w:p w:rsidR="004A18EA" w:rsidRDefault="004A18EA" w:rsidP="000D0408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>l Comité</w:t>
            </w:r>
          </w:p>
          <w:p w:rsidR="00301284" w:rsidRPr="004727A8" w:rsidRDefault="00301284" w:rsidP="000D040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18EA" w:rsidRDefault="004A18EA" w:rsidP="004A18EA"/>
    <w:p w:rsidR="000D0408" w:rsidRDefault="000D0408"/>
    <w:sectPr w:rsidR="000D0408" w:rsidSect="00050D62">
      <w:headerReference w:type="default" r:id="rId8"/>
      <w:footerReference w:type="even" r:id="rId9"/>
      <w:footerReference w:type="default" r:id="rId10"/>
      <w:pgSz w:w="12242" w:h="15842" w:code="1"/>
      <w:pgMar w:top="223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08" w:rsidRDefault="000D0408" w:rsidP="00DC5D93">
      <w:r>
        <w:separator/>
      </w:r>
    </w:p>
  </w:endnote>
  <w:endnote w:type="continuationSeparator" w:id="0">
    <w:p w:rsidR="000D0408" w:rsidRDefault="000D0408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08" w:rsidRDefault="009A2883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D04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0408" w:rsidRDefault="000D04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50D62" w:rsidRDefault="009A2883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0D0408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050D62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  <w:r w:rsidR="00050D62">
          <w:rPr>
            <w:rFonts w:ascii="Arial" w:hAnsi="Arial" w:cs="Arial"/>
            <w:sz w:val="20"/>
            <w:szCs w:val="20"/>
          </w:rPr>
          <w:t xml:space="preserve"> de 4</w:t>
        </w:r>
      </w:p>
      <w:p w:rsidR="000D0408" w:rsidRPr="00936C95" w:rsidRDefault="009A2883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0D0408" w:rsidRPr="000E1F3C" w:rsidRDefault="000D04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08" w:rsidRDefault="000D0408" w:rsidP="00DC5D93">
      <w:r>
        <w:separator/>
      </w:r>
    </w:p>
  </w:footnote>
  <w:footnote w:type="continuationSeparator" w:id="0">
    <w:p w:rsidR="000D0408" w:rsidRDefault="000D0408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08" w:rsidRDefault="000D0408" w:rsidP="000D0408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color w:val="000000" w:themeColor="text1"/>
      </w:rPr>
      <w:t xml:space="preserve">          </w:t>
    </w:r>
  </w:p>
  <w:p w:rsidR="000D0408" w:rsidRDefault="000D0408" w:rsidP="000D0408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D0408" w:rsidRPr="004F1AA7" w:rsidRDefault="000D0408" w:rsidP="000D0408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0D0408" w:rsidRPr="00A61EFE" w:rsidRDefault="000D0408" w:rsidP="000D0408">
    <w:pPr>
      <w:pStyle w:val="Encabezado"/>
      <w:shd w:val="clear" w:color="auto" w:fill="FFFFFF" w:themeFill="background1"/>
      <w:spacing w:before="120" w:after="120"/>
      <w:ind w:left="2410"/>
      <w:jc w:val="right"/>
      <w:rPr>
        <w:i/>
        <w:color w:val="000000" w:themeColor="text1"/>
        <w:sz w:val="26"/>
        <w:szCs w:val="26"/>
      </w:rPr>
    </w:pPr>
    <w:r>
      <w:rPr>
        <w:rFonts w:ascii="Arial" w:hAnsi="Arial" w:cs="Arial"/>
        <w:b/>
        <w:bCs/>
        <w:i/>
        <w:iCs/>
        <w:color w:val="000000" w:themeColor="text1"/>
        <w:sz w:val="26"/>
        <w:szCs w:val="26"/>
        <w:shd w:val="clear" w:color="auto" w:fill="FFFFFF" w:themeFill="background1"/>
      </w:rPr>
      <w:t>Comité de Transparencia</w:t>
    </w:r>
  </w:p>
  <w:p w:rsidR="000D0408" w:rsidRDefault="000D04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23327EC"/>
    <w:multiLevelType w:val="hybridMultilevel"/>
    <w:tmpl w:val="75303468"/>
    <w:lvl w:ilvl="0" w:tplc="F662914A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4C4B2560"/>
    <w:multiLevelType w:val="hybridMultilevel"/>
    <w:tmpl w:val="6EA88FD0"/>
    <w:lvl w:ilvl="0" w:tplc="1B54ABF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2EE21672">
      <w:start w:val="12"/>
      <w:numFmt w:val="bullet"/>
      <w:lvlText w:val="-"/>
      <w:lvlJc w:val="left"/>
      <w:pPr>
        <w:ind w:left="748" w:hanging="180"/>
      </w:pPr>
      <w:rPr>
        <w:rFonts w:ascii="Arial" w:eastAsia="Times New Roman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>
    <w:nsid w:val="5DD33CA0"/>
    <w:multiLevelType w:val="hybridMultilevel"/>
    <w:tmpl w:val="F6DAD144"/>
    <w:lvl w:ilvl="0" w:tplc="EC24D514">
      <w:start w:val="3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12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18EA"/>
    <w:rsid w:val="00016580"/>
    <w:rsid w:val="00050D62"/>
    <w:rsid w:val="000B261E"/>
    <w:rsid w:val="000C11C9"/>
    <w:rsid w:val="000D0408"/>
    <w:rsid w:val="00150358"/>
    <w:rsid w:val="0016421E"/>
    <w:rsid w:val="002274FF"/>
    <w:rsid w:val="002D47BB"/>
    <w:rsid w:val="00301284"/>
    <w:rsid w:val="003C7B7B"/>
    <w:rsid w:val="00441E5B"/>
    <w:rsid w:val="00475D08"/>
    <w:rsid w:val="004A18EA"/>
    <w:rsid w:val="0050163C"/>
    <w:rsid w:val="005048D5"/>
    <w:rsid w:val="007B24FF"/>
    <w:rsid w:val="00810E2B"/>
    <w:rsid w:val="00911A89"/>
    <w:rsid w:val="00926F60"/>
    <w:rsid w:val="00977925"/>
    <w:rsid w:val="009A2883"/>
    <w:rsid w:val="009B17CC"/>
    <w:rsid w:val="00AF4A55"/>
    <w:rsid w:val="00B1600B"/>
    <w:rsid w:val="00D56D12"/>
    <w:rsid w:val="00DC5D93"/>
    <w:rsid w:val="00DD3514"/>
    <w:rsid w:val="00F4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6A6B-20CE-482E-A726-C566FDBF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4</cp:revision>
  <cp:lastPrinted>2017-03-10T19:58:00Z</cp:lastPrinted>
  <dcterms:created xsi:type="dcterms:W3CDTF">2017-06-12T18:23:00Z</dcterms:created>
  <dcterms:modified xsi:type="dcterms:W3CDTF">2017-06-12T18:38:00Z</dcterms:modified>
</cp:coreProperties>
</file>